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489</w:t>
      </w:r>
    </w:p>
    <w:p>
      <w:r>
        <w:t>Bundesgericht (BGE), 2013-07-23, DE</w:t>
      </w:r>
    </w:p>
    <w:p>
      <w:r>
        <w:rPr>
          <w:b/>
        </w:rPr>
        <w:t xml:space="preserve">Quelle: </w:t>
      </w:r>
      <w:r>
        <w:t>https://mcp.opencaselaw.ch/entscheid/bge_139 II 489</w:t>
      </w:r>
    </w:p>
    <w:p>
      <w:r>
        <w:t>FR: ATF 139 II 489</w:t>
      </w:r>
    </w:p>
    <w:p>
      <w:r>
        <w:t>IT: DTF 139 II 489</w:t>
      </w:r>
    </w:p>
    <w:p>
      <w:pPr>
        <w:pStyle w:val="Heading2"/>
      </w:pPr>
      <w:r>
        <w:t>Regeste</w:t>
      </w:r>
    </w:p>
    <w:p>
      <w:r>
        <w:t>Regeste Art. 29 Abs. 2 BV, Art. 8 Abs. 1 lit. d, Art. 11 lit. a und Art. 21 Abs. 1 BöB, § 17, § 27 lit. a und § 32 Abs. 1 VRöB, Art. 11 lit. g IVöB; Eignungs- und Zuschlagskriterien im Submissionsrecht; Berücksichtigung der Mehreignung. Verfassungsrechtliche Mindestansprüche der Anbieter im Falle des Einholens von Referenzauskünften durch die Vergabebehörde. Eignungs- und Zuschlagskriterien sind auseinanderzuhalten: In einem ersten Schritt ist die Eignung zu prüfen und anschliessend sind in einem zweiten Schritt die zulässigen Offerten zu bewerten. Es ist aber nicht grundsätzlich unzulässig, eine gewisse Mindestanforderung als Eignungskriterium zu verlangen und eine darüber hinausgehende Erfüllung als Zuschlagskriterium zu gewichten. Zumindest dort, wo es auf fachliche Eignung oder Erfahrung ankommt, ist die Berücksichtigung einer Mehreignung im Rahmen des Zuschlags zulässig (E. 2.1 und 2.2). Die Vergabebehörde darf Referenzen einholen, die der Anbieter nicht angegeben hat, doch gelten verfassungsrechtliche Mindestansprüche: Wird darauf zum Nachteil des Anbieters abgestellt, muss dieser Gelegenheit haben, sich dazu zu äussern (E. 3.1-3.3).</w:t>
      </w:r>
    </w:p>
    <w:p>
      <w:pPr>
        <w:pStyle w:val="Heading2"/>
      </w:pPr>
      <w:r>
        <w:t>Erwägungen</w:t>
      </w:r>
    </w:p>
    <w:p>
      <w:r>
        <w:rPr>
          <w:b/>
        </w:rPr>
        <w:t>E. 2.1</w:t>
      </w:r>
    </w:p>
    <w:p>
      <w:r>
        <w:t>Die Beschwerdeführerin stösst sich daran, dass die Vergabestelle die Eignungsmerkmale eines Anbieters bei der Prüfung der Zuschlagskriterien nochmals anhand der exakt gleichen Merkmale geprüft hat. Daraufhin hat sie dem obsiegenden Anbieter ausschliesslich aufgrund seiner Mehreignung eine höhere Punktzahl bei der Beurteilung der Zuschlagskriterien zugesprochen. Ob darin ein Verstoss gegen die Gleichbehandlung der Anbieter liegt, ist - wie sich aus dem Folgenden ergibt - eine wesentliche, aber höchstrichterlich in der Schweiz noch nie entschiedene Grundsatzfrage.</w:t>
      </w:r>
    </w:p>
    <w:p>
      <w:r>
        <w:rPr>
          <w:b/>
        </w:rPr>
        <w:t>E. 2.2.1</w:t>
      </w:r>
    </w:p>
    <w:p>
      <w:r>
        <w:t>Nach der bundesgerichtlichen Rechtsprechung sind Eignungs- und Zuschlagskriterium auseinanderzuhalten; diese beziehen sich direkt auf die zu erbringende Leistung, jene hingegen auf das anbietende Unternehmen und dessen Eigenschaften; da aber auch diese Kriterien auf die zu erbringende Leistung bezogen sein müssen, ist die Unterscheidung zwischen Eignungs- und Zuschlagskriterien manchmal schwierig ( BGE 129 I 313 E. 8.1 S. 323 f.; Urteil 2P.322/2006 BGE 139 II 489 S. 492 vom 14. August 2007 E. 3.3.1). Nähere Ausführungen zur Abgrenzung finden sich in diesen Urteilen nicht. Auch im Urteil 2P.85/2001 vom 6. Mai 2002 E. 4.1 wurde die Frage einer Vermengung von Eignungs- und Zuschlagskriterien mangels entsprechender Rüge nicht weiter vertieft. Ohne ausdrückliche Diskussion des Verhältnisses zwischen Eignungs- und Zuschlagskriterien wurde es im Urteil 2P.141/2002 vom 7. Januar 2003 E. 2 als zulässig erklärt, den Zuschlag für den Kauf von Fotokopiergeräten einem Anbieter zu erteilen, weil dessen Geräte (zu einem günstigeren Preis) mehr Leistung erbrachten als in der Ausschreibung gefordert worden war. Im Urteil 2P.46/2005 vom 16. September 2005 E. 5.1 fragte sich das Bundesgericht in Bezug auf das Kriterium der Ortskenntnis, ob eine strenge Trennung zwischen anbieter- und angebotsbezogenen Kriterien überhaupt sinnvoll und realisierbar ist, wie allgemein bei der Vergabe von Dienstleistungsaufträgen, wo die Fachkompetenz bzw. die Qualifikation des Anbieters eine grosse Rolle spiele; die Frage konnte aber offenbleiben. Im Urteil 2P.225/2005 vom 27. April 2006 E. 3.2 erwog das Bundesgericht, dass nach der Lehre die Eignungskriterien normalerweise nicht zugleich als Zuschlagskriterien verwendet werden sollten, dass aber die Rechtsprechung eine strikte Trennung eher ablehne; die Frage brauchte auch dort nicht weiter erörtert zu werden, da nicht dargelegt worden war, dass die gleichen Kriterien doppelt verwendet wurden.</w:t>
      </w:r>
    </w:p>
    <w:p>
      <w:r>
        <w:rPr>
          <w:b/>
        </w:rPr>
        <w:t>E. 2.2.2</w:t>
      </w:r>
    </w:p>
    <w:p>
      <w:r>
        <w:t>Die frühere eidgenössische Rekurskommission für das öffentliche Beschaffungswesen war anfänglich der Ansicht, dass Unternehmensaspekte bzw. Mehreignungen im Rahmen des Zuschlags nicht mehr berücksichtigt werden dürften; sie hat diese Praxis jedoch im Laufe der Zeit gelockert und unternehmensbezogene Aspekte zugelassen, wenn sie Einfluss auf die Qualität des Angebots (als Element der Wirtschaftlichkeit, vgl. Art. 21 Abs. 1 des Bundesgesetzes vom 16. Dezember 1994 über das öffentliche Beschaffungswesen [BöB; SR 172.056.1] ) haben (s. Darstellung der Praxis bei MARTIN BEYELER, Ziele und Instrumente des Vergaberechts, 2008, S. 64 ff.; MARC STEINER, Die Berücksichtigung der Mehreignung aus beschaffungsrechtlicher Sicht - ein Beitrag aus der Schweiz, European Law Reporter 2010 S. 189 ff.). Das Bundesverwaltungsgericht schliesst ebenfalls die Berücksichtigung einer Mehreignung im Rahmen der Zuschlagskriterien nicht grundsätzlich aus, sofern die Mehreignungskriterien einen Bezug zum Projekt aufweisen, wie z.B. Qualität, Referenzen, Ausbildung (Urteil B-6082/2011 vom 8. Mai BGE 139 II 489 S. 493 2012 E. 2.1.3 und 2.1.4; BVGE 2011/58 E. 12.2). Auch die Rechtsprechung der Kantone lässt mehrheitlich die Berücksichtigung von anbieterbezogenen Zuschlagskriterien zu, jedenfalls wenn es um Aufträge geht, bei denen die Fachkompetenz des Anbieters eine grosse Rolle spielt (vgl. die Hinweise bei GALLI/MOSER/LANG/STEINER, Praxis des öffentlichen Beschaffungsrechts, 3. Aufl. 2013, S. 270 ff.); HUBERT STÖCKLI, Das Vergaberecht der Schweiz, 7. Aufl. 2008, S. 471 ff.; BEYELER/STÖCKLI, Rechtsprechung aus den Jahren 2010-2012, in: Aktuelles Vergaberecht 2012, 2012, S. 110 f.; ELISABETH LANG, Der Grundsatz der Transparenz im öffentlichen Beschaffungsrecht, in: Festschrift 100 Jahre Aargauischer Anwaltsverband, 2005, S. 124 f.).</w:t>
      </w:r>
    </w:p>
    <w:p>
      <w:r>
        <w:rPr>
          <w:b/>
        </w:rPr>
        <w:t>E. 2.2.3</w:t>
      </w:r>
    </w:p>
    <w:p>
      <w:r>
        <w:t>Rechtsvergleichend ist das Urteil des EuGH i.S. Lianakis vom 24. Januar 2008 (C-532/06, Randnrn. 30-32) zu erwähnen, wonach sich die fachliche Eignung nach den in Art. 31 und 32 der Richtlinie 92/50/EWG vom 18. Juni 1992 über die Koordinierung der Verfahren zur Vergabe öffentlicher Dienstleistungsaufträge (ABl. L 209 vom 24. Juli 1992 S. 1) genannten Kriterien richte, während sich die Erteilung des Zuschlags auf die in Art. 36 Abs. 1 der Richtlinie aufgezählten Kriterien stütze. Zwar seien dort die Kriterien nicht abschliessend aufgezählt, doch kämen nur Kriterien in Betracht, die der Ermittlung des wirtschaftlich günstigsten Angebots dienten. Daher seien als Zuschlagskriterien Kriterien ausgeschlossen, die nicht der Ermittlung des wirtschaftlich günstigsten Angebots dienten, sondern die im Wesentlichen mit der Beurteilung der fachlichen Eignung der Bieter für die Ausführung des betreffenden Auftrags zusammenhingen. Die im konkreten Fall vom Auftraggeber als "Zuschlagskriterien" berücksichtigten Kriterien (nachgewiesene Erfahrung des Sachverständigen; Personal und Ausstattung des Büros; Fähigkeit, die Studie durchzuführen) bezögen sich in erster Linie auf die Erfahrung, die Qualifikationen und die Mittel, die geeignet sind, eine ordnungsgemässe Ausführung des betreffenden Auftrags zu gewährleisten. Es handle sich dabei um Kriterien, die die fachliche Eignung der Bieter beträfen und die nicht Zuschlagskriterien sein könnten. Diese Praxis wurde bestätigt im Urteil Kommission gegen Hellenische Republik vom 12. November 2009 (C-199/07; vgl. auch Grünbuch vom 27. Januar 2011 der Europäischen Kommission über die Modernisierung der europäischen Politik im Bereich des öffentlichen Auftragswesens; Wege zu einem effizienteren europäischen Markt für öffentliche Aufträge, S. 18 f.). BGE 139 II 489 S. 494</w:t>
      </w:r>
    </w:p>
    <w:p>
      <w:r>
        <w:rPr>
          <w:b/>
        </w:rPr>
        <w:t>E. 2.2.4</w:t>
      </w:r>
    </w:p>
    <w:p>
      <w:r>
        <w:t>Eignungs- und Zuschlagskriterien haben unterschiedliche Funktionen: Die Nichterfüllung der Eignungskriterien führt zum Ausschluss des Anbieters (§ 27 lit. a der Vergaberichtlinien [VRöB] zur Interkantonalen Vereinbarung über das öffentliche Beschaffungswesen [IVöB] vom 25. November 1994/15. März 2001 [ http://www.bpuk.ch/konkordate/IVOEB.aspx ]; § 27 lit. a der nidwaldnerischen Vollzugsverordnung vom 6. Juli 2004 zum Gesetz über das öffentliche Beschaffungswesen [Submissionsverordnung; NG 612.11]; vgl. im Bund Art. 11 lit. a BöB ; MARTIN BEYELER, Der Geltungsanspruch des Vergaberechts, 2012, S. 1025 ff.);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(Urteil 2P.322/2006 vom 14. August 2007 E. 3.3.1; OLIVIER RODONDI, Les critères d'aptitude et les critères d'adjudication dans les procédures de marchés publics, RDAF 2001 I S. 387 ff., 412 f.; MARTIN BEYELER, Öffentliche Beschaffung, Vergaberecht und Schadenersatz, 2004, S. 206 f.). Daraus folgt aber nicht, dass es unzulässig wäre, im zweiten Schritt die gleichen Kriterien zu berücksichtigen wie im ersten. Das macht zwar keinen Sinn bei Eignungskriterien, die nur mit Ja oder Nein beantwortet werden können: Angebote, welche das Kriterium nicht erfüllen, sind auszuschliessen, alle anderen würden die gleiche Bewertung erhalten. Bei Kriterien, die graduell bewertet werden können, ist aber nicht ersichtlich, weshalb es unzulässig sein sollte, eine gewisse Mindestanforderung als Eignungskriterium zu verlangen, eine darüber hinausgehende Erfüllung aber als Zuschlagskriterium zu gewichten; es handelt sich bei dieser Vorgehensweise nicht um eine Doppelprüfung, sondern um eine Prüfung unter verschiedenen Aspekten (BEYELER, a.a.O., 2004, S. 208 f.). Das gilt in besonderem Mass für das Kriterium der Qualität, die anerkanntermassen ein zulässiges Kriterium im Rahmen der Wirtschaftlichkeitsprüfung ist ( Art. 21 Abs. 1 BöB ; § 32 Abs. 1 VRöB). Es liegt auf der Hand, dass - jedenfalls bei Aufträgen, bei denen die Fachkompetenz eine Rolle spielt - die Qualität BGE 139 II 489 S. 495 nicht getrennt vom Unternehmen und den darin tätigen Personen beurteilt werden kann. Eine strikte Trennung zwischen unternehmensbezogenen und Wirtschaftlichkeitsaspekten, wie sie der EuGH vorgenommen hat, kann daher nicht überzeugen. Zumindest dort, wo es auf fachliche Eignung oder Erfahrung ankommt, ist die Berücksichtigung einer Mehreignung im Rahmen des Zuschlags zulässig (ebenso BEYELER, a.a.O., 2008, S. 67 ff.; MATTHIAS HAUSER, Zuschlagskriterien im Submissionsrecht, AJP 2001 S. 1405 ff., 1414 f.; HERBERT LANG, Offertenbehandlung und Zuschlag im öffentlichen Beschaffungswesen, ZBl 101/2000 S. 225 ff., 242 f.; MARCO FETZ, Öffentliches Beschaffungsrecht des Bundes, in: SBVR Bd. XI, 2. Aufl. 2007, S. 461 ff., 538 f.). (...)</w:t>
      </w:r>
    </w:p>
    <w:p>
      <w:r>
        <w:rPr>
          <w:b/>
        </w:rPr>
        <w:t>E. 3.1</w:t>
      </w:r>
    </w:p>
    <w:p>
      <w:r>
        <w:t>Weiter wirft die Beschwerdeführerin die Frage auf, ob es rechtswidrig ist, wenn die Vergabebehörde eigenmächtig (d.h. ohne Zustimmung des Anbieters) Referenzangaben zu Anlagen eines Anbieters einholt und aufgrund dieser Referenzangaben einen Anbieter schlechter bewertet. Auch bei dieser Frage handelt es sich um eine Grundsatzfrage, die sich in der Praxis häufig stellt, aber vom Bundesgericht noch nie beantwortet wurde; im Urteil 2P.111/2003 vom 21. Januar 2004 E. 4.2.2 konnte diese Frage offenbleiben, weil die vertraulich eingeholten Referenzauskünfte nicht entscheidwesentlich waren.</w:t>
      </w:r>
    </w:p>
    <w:p>
      <w:r>
        <w:rPr>
          <w:b/>
        </w:rPr>
        <w:t>E. 3.2</w:t>
      </w:r>
    </w:p>
    <w:p>
      <w:r>
        <w:t>Das Vergaberecht äussert sich nicht ausdrücklich zur Frage, ob und unter welchen Umständen auch Referenzen eingeholt werden dürfen, die der Anbieter nicht angegeben hat. Die Antwort muss sich aus allgemeinen Grundsätzen ergeben: Wie in jedem Verwaltungsverfahren hat auch im Submissionsverfahren die Behörde grundsätzlich den erheblichen Sachverhalt von Amtes wegen abzuklären, ohne dabei an Vorbringen oder Beweisanträge der Beteiligten gebunden zu sein. Sie wird zwar in der Regel primär auf die von den Anbietern eingereichten Unterlagen abstellen; insbesondere ist die Behörde nicht verpflichtet, von Amtes wegen mangelhaft oder unvollständig eingereichte Unterlagen oder Angaben zu vervollständigen (vgl. Hinweise auf die Praxis bei MANUELA GEBERT, Stolpersteine im Beschaffungsablauf, in: Aktuelles Vergaberecht 2010, 2010, S. 364 ff.). Es ist aber auch nicht unzulässig, auf vorhandene eigene Kenntnisse und Erfahrungswerte zurückzugreifen; BGE 139 II 489 S. 496 insbesondere bei lokalen Projekten mit lokalen Anbietern oder innerhalb einer Fachwelt, wo man sich gegenseitig kennt, ist solches Wissen unvermeidlich vorhanden und es ist nicht per se unzulässig, darauf abzustellen (Urteil 2C_549/2011 vom 27. März 2012 E. 2.4). Ebenso wenig kann es der Behörde verboten sein, sich solches Wissen noch zu verschaffen, um sich ein Bild über die Eignung oder Qualität eines Anbieters zu machen. Nach Treu und Glauben wird zwar die Behörde in erster Linie auf diejenigen Referenzen abstellen, die der Anbieter angegeben hat; aber es muss ihr grundsätzlich erlaubt sein, im Rahmen ihrer Sachverhaltsabklärungen auch zusätzlich zu den Angaben, welche die Anbieter gemacht haben, weitere Informationen einzuholen.</w:t>
      </w:r>
    </w:p>
    <w:p>
      <w:r>
        <w:rPr>
          <w:b/>
        </w:rPr>
        <w:t>E. 3.3</w:t>
      </w:r>
    </w:p>
    <w:p>
      <w:r>
        <w:t>Allerdings sind dabei verfassungsrechtliche Mindestansprüche zu wahren, namentlich der Anspruch auf rechtliches Gehör ( Art. 29 Abs. 2 BV ), der grundsätzlich auch im Submissionsrecht gilt (Urteile 2C_710/2012 vom 7. Dezember 2012 E. 5; 2C_890/2008 vom 22. April 2009 E. 5.3; 2P.175/2001 vom 12. Oktober 2001 E. 3, in: ZBl 103/2002 S. 481; 2P.155/1996 vom 4. Dezember 1996 E. 3, in: Pra 1997 Nr. 100 S. 541). Die Parteien eines Verfahrens haben insbesondere das Recht auf Akteneinsicht sowie das Recht, sich zu rechtserheblichen Sachverhaltsvorbringen zu äussern, auf welche zu ihrem Nachteil abgestellt wird ( BGE 137 IV 33 E. 9.2 S. 48 f.; BGE 136 V 351 E. 4.4 S. 355 f.; BGE 135 I 279 E. 2.3 S. 282). So muss z.B. einem Anbieter Gelegenheit gegeben werden sich zu äussern, bevor sein Angebot wegen ungewöhnlich tiefem Preis ausgeschlossen wird ( BGE 130 I 241 E. 7.3 S. 255; Urteile 2D_34/2010 vom 23. Februar 2011 E. 2.5; 2P.70/2006 vom 23. Februar 2007 E. 4.5; vgl. § 31 VRöB; OLIVIER RODONDI, La gestion de la procédure de soumission, in: Aktuelles Vergaberecht 2008, 2008, S. 163 ff., 188). Auch in anderen Konstellationen kann sich eine Pflicht zur Rückfragung beim Anbieter ergeben (vgl. GALLI/MOSER/LANG/STEINER, a.a.O., S. 198 f.). Zwar können die Gehörsansprüche mit Rücksicht auf die Besonderheiten des Submissionsrechts eingeschränkt werden. So sind die Angebote als solche auch gegenüber den Mitbewerbern vertraulich zu behandeln (Art. XIV Abs. 3 GPA [SR 0.632.231.422]; Art. 11 lit. g der interkantonalen Vereinbarung vom 25. November 1994/15. März 2001 über das öffentliche Beschaffungswesen [IVöB; NG 612.2]; § 17 VRöB; vgl. im Bund Art. 8 Abs. 1 lit. d BöB ), was grundsätzlich auch im Rechtsmittelverfahren gilt (Urteile 2C_890/2008 BGE 139 II 489 S. 497 vom 22. April 2009 E. 5.3.3; 2P.193/2006 vom 29. November 2006 E. 3.1; 2P.111/2003 vom 21. Januar 2004 E. 4.1.2; 2P.226/2002 vom 20. Februar 2003 E. 2; 2P.274/1999 vom 2. März 2000 E. 2, in: Pra 2000 Nr. 134; GALLI/MOSER/LANG/STEINER, a.a.O., S. 559 ff.; 688 f.; FETZ, a.a.O., S. 500 f.). Hingegen sind nach der kantonalen Gerichtspraxis die Referenzauskünfte, auf welche die Behörde abstellen will, aktenmässig festzuhalten (Urteile des Verwaltungsgerichts Zürich VB.2006.00359 vom 20. Dezember 2006 E. 6.2.3; VB.2005.00514 vom 1. November 2006 E. 5.3; Urteil des Verwaltungsgerichts Luzern vom 13. August 2002 E. 6, in: Luzerner Gerichts- und Verwaltungsentscheide 2002 II Nr. 9; vgl. auch PETER RECHSTEINER, Referenzkontrolle, Baurecht 2003 S. 56) und es ist den Parteien - vorbehältlich überwiegender entgegenstehender Interessen - darin Einsicht zu gewähren (Urteil des Verwaltungsgerichts Aargau vom 16. Februar 2000 E. 2, in: Aargauische Gerichts- und Verwaltungsentscheide 2000 S. 279; dazu ELISABETH LANG, Die Praxis des Verwaltungsgerichts des Kantons Aargau zum Submissionsrecht, ZBl 103/2002 S. 453 ff., 477; GALLI/MOSER/LANG/STEINER, a.a.O., S. 694 f.). Dem ist zuzustimmen: Wenn Referenzen eingeholt werden, auf die entscheiderheblich abgestellt wird, handelt es sich nicht um behördeninterne Akten, die nicht dem Einsichtsrecht unterliegen ( BGE 125 II 473 E. 4a S. 474; Urteil 1P.324/2005 vom 10. Mai 2006 E. 1.2, nicht publ. in: BGE 132 I 167 ), sondern um Auskünfte Dritter. Wird darauf zum Nachteil eines Anbieters abgestellt, muss dieser Gelegenheit haben, sich dazu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